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C5C" w:rsidRPr="006B7C5C" w:rsidRDefault="006B7C5C" w:rsidP="00796214">
      <w:pPr>
        <w:spacing w:after="0" w:line="240" w:lineRule="auto"/>
        <w:jc w:val="center"/>
        <w:rPr>
          <w:rFonts w:eastAsia="Times New Roman" w:cs="Times New Roman"/>
          <w:b/>
          <w:bCs/>
          <w:szCs w:val="24"/>
          <w:lang w:eastAsia="es-CO"/>
        </w:rPr>
      </w:pPr>
    </w:p>
    <w:p w:rsidR="00796214" w:rsidRPr="006B7C5C" w:rsidRDefault="00796214" w:rsidP="00796214">
      <w:pPr>
        <w:spacing w:after="0" w:line="240" w:lineRule="auto"/>
        <w:jc w:val="center"/>
        <w:rPr>
          <w:rFonts w:eastAsia="Times New Roman" w:cs="Times New Roman"/>
          <w:szCs w:val="24"/>
          <w:lang w:eastAsia="es-CO"/>
        </w:rPr>
      </w:pPr>
      <w:r w:rsidRPr="006B7C5C">
        <w:rPr>
          <w:rFonts w:eastAsia="Times New Roman" w:cs="Times New Roman"/>
          <w:b/>
          <w:bCs/>
          <w:szCs w:val="24"/>
          <w:lang w:eastAsia="es-CO"/>
        </w:rPr>
        <w:t>OFICIO Nº 000321</w:t>
      </w:r>
    </w:p>
    <w:p w:rsidR="00796214" w:rsidRPr="006B7C5C" w:rsidRDefault="00796214" w:rsidP="00796214">
      <w:pPr>
        <w:spacing w:after="0" w:line="240" w:lineRule="auto"/>
        <w:jc w:val="center"/>
        <w:rPr>
          <w:rFonts w:eastAsia="Times New Roman" w:cs="Times New Roman"/>
          <w:szCs w:val="24"/>
          <w:lang w:eastAsia="es-CO"/>
        </w:rPr>
      </w:pPr>
      <w:r w:rsidRPr="006B7C5C">
        <w:rPr>
          <w:rFonts w:eastAsia="Times New Roman" w:cs="Times New Roman"/>
          <w:b/>
          <w:bCs/>
          <w:szCs w:val="24"/>
          <w:lang w:eastAsia="es-CO"/>
        </w:rPr>
        <w:t>06-01-2015</w:t>
      </w:r>
    </w:p>
    <w:p w:rsidR="00796214" w:rsidRPr="006B7C5C" w:rsidRDefault="00796214" w:rsidP="00796214">
      <w:pPr>
        <w:spacing w:after="0" w:line="240" w:lineRule="auto"/>
        <w:jc w:val="center"/>
        <w:rPr>
          <w:rFonts w:eastAsia="Times New Roman" w:cs="Times New Roman"/>
          <w:szCs w:val="24"/>
          <w:lang w:eastAsia="es-CO"/>
        </w:rPr>
      </w:pPr>
      <w:r w:rsidRPr="006B7C5C">
        <w:rPr>
          <w:rFonts w:eastAsia="Times New Roman" w:cs="Times New Roman"/>
          <w:b/>
          <w:bCs/>
          <w:szCs w:val="24"/>
          <w:lang w:eastAsia="es-CO"/>
        </w:rPr>
        <w:t>DIAN</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b/>
          <w:bCs/>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b/>
          <w:bCs/>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100202208-0011</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Bogotá, D. C.</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b/>
          <w:bCs/>
          <w:szCs w:val="24"/>
          <w:lang w:eastAsia="es-CO"/>
        </w:rPr>
        <w:t>Referencia:</w:t>
      </w:r>
      <w:r w:rsidRPr="006B7C5C">
        <w:rPr>
          <w:rFonts w:eastAsia="Times New Roman" w:cs="Times New Roman"/>
          <w:szCs w:val="24"/>
          <w:lang w:eastAsia="es-CO"/>
        </w:rPr>
        <w:t> Radicado 100025108 del 30/09/2014</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5D4491" w:rsidRDefault="005D4491" w:rsidP="00796214">
      <w:pPr>
        <w:spacing w:after="0" w:line="240" w:lineRule="auto"/>
        <w:jc w:val="both"/>
        <w:rPr>
          <w:rFonts w:eastAsia="Times New Roman" w:cs="Times New Roman"/>
          <w:b/>
          <w:bCs/>
          <w:szCs w:val="24"/>
          <w:lang w:eastAsia="es-CO"/>
        </w:rPr>
      </w:pP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b/>
          <w:bCs/>
          <w:szCs w:val="24"/>
          <w:lang w:eastAsia="es-CO"/>
        </w:rPr>
        <w:t>Tema:</w:t>
      </w:r>
      <w:r w:rsidRPr="006B7C5C">
        <w:rPr>
          <w:rFonts w:eastAsia="Times New Roman" w:cs="Times New Roman"/>
          <w:szCs w:val="24"/>
          <w:lang w:eastAsia="es-CO"/>
        </w:rPr>
        <w:t> Impuesto sobre la Renta</w:t>
      </w:r>
    </w:p>
    <w:p w:rsidR="005D4491" w:rsidRDefault="005D4491" w:rsidP="00796214">
      <w:pPr>
        <w:spacing w:after="0" w:line="240" w:lineRule="auto"/>
        <w:jc w:val="both"/>
        <w:rPr>
          <w:rFonts w:eastAsia="Times New Roman" w:cs="Times New Roman"/>
          <w:b/>
          <w:bCs/>
          <w:szCs w:val="24"/>
          <w:lang w:eastAsia="es-CO"/>
        </w:rPr>
      </w:pP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b/>
          <w:bCs/>
          <w:szCs w:val="24"/>
          <w:lang w:eastAsia="es-CO"/>
        </w:rPr>
        <w:t>Descriptores:</w:t>
      </w:r>
      <w:r w:rsidRPr="006B7C5C">
        <w:rPr>
          <w:rFonts w:eastAsia="Times New Roman" w:cs="Times New Roman"/>
          <w:szCs w:val="24"/>
          <w:lang w:eastAsia="es-CO"/>
        </w:rPr>
        <w:t> Pago por Incapacidad Laboral-Renta Exenta; Indemnización por Enfermedad Profesional; Renta Gravable Alternativa; Determinación de la Base de Retención en la Fuente</w:t>
      </w:r>
    </w:p>
    <w:p w:rsidR="005D4491" w:rsidRDefault="005D4491" w:rsidP="00796214">
      <w:pPr>
        <w:spacing w:after="0" w:line="240" w:lineRule="auto"/>
        <w:jc w:val="both"/>
        <w:rPr>
          <w:rFonts w:eastAsia="Times New Roman" w:cs="Times New Roman"/>
          <w:b/>
          <w:bCs/>
          <w:szCs w:val="24"/>
          <w:lang w:eastAsia="es-CO"/>
        </w:rPr>
      </w:pP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b/>
          <w:bCs/>
          <w:szCs w:val="24"/>
          <w:lang w:eastAsia="es-CO"/>
        </w:rPr>
        <w:t>Fuentes formales:</w:t>
      </w:r>
      <w:r w:rsidRPr="006B7C5C">
        <w:rPr>
          <w:rFonts w:eastAsia="Times New Roman" w:cs="Times New Roman"/>
          <w:szCs w:val="24"/>
          <w:lang w:eastAsia="es-CO"/>
        </w:rPr>
        <w:t> Artículos </w:t>
      </w:r>
      <w:hyperlink r:id="rId4" w:tooltip="Estatuto Tributario CETA" w:history="1">
        <w:r w:rsidRPr="006B7C5C">
          <w:rPr>
            <w:rFonts w:eastAsia="Times New Roman" w:cs="Times New Roman"/>
            <w:szCs w:val="24"/>
            <w:lang w:eastAsia="es-CO"/>
          </w:rPr>
          <w:t>206</w:t>
        </w:r>
      </w:hyperlink>
      <w:r w:rsidRPr="006B7C5C">
        <w:rPr>
          <w:rFonts w:eastAsia="Times New Roman" w:cs="Times New Roman"/>
          <w:szCs w:val="24"/>
          <w:lang w:eastAsia="es-CO"/>
        </w:rPr>
        <w:t> N° 1 - </w:t>
      </w:r>
      <w:hyperlink r:id="rId5" w:tooltip="Estatuto Tributario CETA" w:history="1">
        <w:r w:rsidRPr="006B7C5C">
          <w:rPr>
            <w:rFonts w:eastAsia="Times New Roman" w:cs="Times New Roman"/>
            <w:szCs w:val="24"/>
            <w:lang w:eastAsia="es-CO"/>
          </w:rPr>
          <w:t>330</w:t>
        </w:r>
      </w:hyperlink>
      <w:r w:rsidRPr="006B7C5C">
        <w:rPr>
          <w:rFonts w:eastAsia="Times New Roman" w:cs="Times New Roman"/>
          <w:szCs w:val="24"/>
          <w:lang w:eastAsia="es-CO"/>
        </w:rPr>
        <w:t> – </w:t>
      </w:r>
      <w:hyperlink r:id="rId6" w:tooltip="Estatuto Tributario CETA" w:history="1">
        <w:r w:rsidRPr="006B7C5C">
          <w:rPr>
            <w:rFonts w:eastAsia="Times New Roman" w:cs="Times New Roman"/>
            <w:szCs w:val="24"/>
            <w:lang w:eastAsia="es-CO"/>
          </w:rPr>
          <w:t>331</w:t>
        </w:r>
      </w:hyperlink>
      <w:r w:rsidRPr="006B7C5C">
        <w:rPr>
          <w:rFonts w:eastAsia="Times New Roman" w:cs="Times New Roman"/>
          <w:szCs w:val="24"/>
          <w:lang w:eastAsia="es-CO"/>
        </w:rPr>
        <w:t> - </w:t>
      </w:r>
      <w:hyperlink r:id="rId7" w:tooltip="Estatuto Tributario CETA" w:history="1">
        <w:r w:rsidRPr="006B7C5C">
          <w:rPr>
            <w:rFonts w:eastAsia="Times New Roman" w:cs="Times New Roman"/>
            <w:szCs w:val="24"/>
            <w:lang w:eastAsia="es-CO"/>
          </w:rPr>
          <w:t>332</w:t>
        </w:r>
      </w:hyperlink>
      <w:r w:rsidRPr="006B7C5C">
        <w:rPr>
          <w:rFonts w:eastAsia="Times New Roman" w:cs="Times New Roman"/>
          <w:szCs w:val="24"/>
          <w:lang w:eastAsia="es-CO"/>
        </w:rPr>
        <w:t> - </w:t>
      </w:r>
      <w:hyperlink r:id="rId8" w:tooltip="Estatuto Tributario CETA" w:history="1">
        <w:r w:rsidRPr="006B7C5C">
          <w:rPr>
            <w:rFonts w:eastAsia="Times New Roman" w:cs="Times New Roman"/>
            <w:szCs w:val="24"/>
            <w:lang w:eastAsia="es-CO"/>
          </w:rPr>
          <w:t>383</w:t>
        </w:r>
      </w:hyperlink>
      <w:r w:rsidRPr="006B7C5C">
        <w:rPr>
          <w:rFonts w:eastAsia="Times New Roman" w:cs="Times New Roman"/>
          <w:szCs w:val="24"/>
          <w:lang w:eastAsia="es-CO"/>
        </w:rPr>
        <w:t> y </w:t>
      </w:r>
      <w:hyperlink r:id="rId9" w:tooltip="Estatuto Tributario CETA" w:history="1">
        <w:r w:rsidRPr="006B7C5C">
          <w:rPr>
            <w:rFonts w:eastAsia="Times New Roman" w:cs="Times New Roman"/>
            <w:szCs w:val="24"/>
            <w:lang w:eastAsia="es-CO"/>
          </w:rPr>
          <w:t>384</w:t>
        </w:r>
      </w:hyperlink>
      <w:r w:rsidRPr="006B7C5C">
        <w:rPr>
          <w:rFonts w:eastAsia="Times New Roman" w:cs="Times New Roman"/>
          <w:szCs w:val="24"/>
          <w:lang w:eastAsia="es-CO"/>
        </w:rPr>
        <w:t> del Estatuto Tributario; Artículo 206 de Ley 100 de 1993; Artículo 5° Ley 776 del 2002; Artículos 3° y 4° de la Ley 1562 de 2012; Decreto 1070 de 2013; Oficio 068292 del 25 de octubre de 2013</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Apreciada señora Franco Valencia:</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De conformidad con el artículo 19 del Decreto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En el radicado en referencia se plantean dos interrogantes que se exponen a continuación:</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1. ¿El beneficio tributario consagrado en el numeral 1 del </w:t>
      </w:r>
      <w:hyperlink r:id="rId10" w:tooltip="Estatuto Tributario CETA" w:history="1">
        <w:r w:rsidRPr="006B7C5C">
          <w:rPr>
            <w:rFonts w:eastAsia="Times New Roman" w:cs="Times New Roman"/>
            <w:szCs w:val="24"/>
            <w:lang w:eastAsia="es-CO"/>
          </w:rPr>
          <w:t>artículo 206</w:t>
        </w:r>
      </w:hyperlink>
      <w:r w:rsidRPr="006B7C5C">
        <w:rPr>
          <w:rFonts w:eastAsia="Times New Roman" w:cs="Times New Roman"/>
          <w:szCs w:val="24"/>
          <w:lang w:eastAsia="es-CO"/>
        </w:rPr>
        <w:t> del Estatuto Tributario, aplica tanto para las indemnizaciones como para las incapacidades reconocidas por accidentes laborales o enfermedades, independientemente que la entidad que reconoce el pago sea una EPS o ARL?</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Al respecto, este despacho considera:</w:t>
      </w:r>
    </w:p>
    <w:p w:rsidR="00C82898" w:rsidRDefault="00C82898" w:rsidP="00796214">
      <w:pPr>
        <w:spacing w:after="0" w:line="240" w:lineRule="auto"/>
        <w:jc w:val="both"/>
        <w:rPr>
          <w:rFonts w:eastAsia="Times New Roman" w:cs="Times New Roman"/>
          <w:szCs w:val="24"/>
          <w:lang w:eastAsia="es-CO"/>
        </w:rPr>
      </w:pPr>
    </w:p>
    <w:p w:rsidR="00796214" w:rsidRPr="00C82898" w:rsidRDefault="00796214" w:rsidP="00796214">
      <w:pPr>
        <w:spacing w:after="0" w:line="240" w:lineRule="auto"/>
        <w:jc w:val="both"/>
        <w:rPr>
          <w:rFonts w:eastAsia="Times New Roman" w:cs="Times New Roman"/>
          <w:szCs w:val="24"/>
          <w:lang w:eastAsia="es-CO"/>
        </w:rPr>
      </w:pPr>
      <w:r w:rsidRPr="005D4491">
        <w:rPr>
          <w:rFonts w:eastAsia="Times New Roman" w:cs="Times New Roman"/>
          <w:b/>
          <w:szCs w:val="24"/>
          <w:lang w:eastAsia="es-CO"/>
        </w:rPr>
        <w:t>Es pertinente distinguir que existe una diferencia entre incapacidad e indemnización por accidente o enfermedad profesional, ya que se reconocen y se producen en momentos y tiempos distintos.</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xml:space="preserve">Sin embargo, la indemnización por enfermedad profesional puede provenir de dos causas, la primera de una discapacidad permanente y la segunda de una disminución de la capacidad laboral como resultado de una calificación de la autoridad competente; no obstante, ambas </w:t>
      </w:r>
      <w:r w:rsidRPr="006B7C5C">
        <w:rPr>
          <w:rFonts w:eastAsia="Times New Roman" w:cs="Times New Roman"/>
          <w:szCs w:val="24"/>
          <w:lang w:eastAsia="es-CO"/>
        </w:rPr>
        <w:lastRenderedPageBreak/>
        <w:t>pueden originarse por una incapacidad que con el transcurrir del tiempo y, previo el cumplimiento de las solemnidades legales para cada caso en concreto, pueden generar una indemnización.</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Sobre el particular resulta necesario acudir a la ley para precisar las definiciones que sobre estos temas ha adoptado, a saber:</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r w:rsidRPr="006B7C5C">
        <w:rPr>
          <w:rFonts w:eastAsia="Times New Roman" w:cs="Times New Roman"/>
          <w:b/>
          <w:bCs/>
          <w:i/>
          <w:iCs/>
          <w:szCs w:val="24"/>
          <w:lang w:eastAsia="es-CO"/>
        </w:rPr>
        <w:t>Ley 776 de 2002</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Artículo 2°. Incapacidad temporal. </w:t>
      </w:r>
      <w:r w:rsidRPr="006B7C5C">
        <w:rPr>
          <w:rFonts w:eastAsia="Times New Roman" w:cs="Times New Roman"/>
          <w:i/>
          <w:iCs/>
          <w:szCs w:val="24"/>
          <w:lang w:eastAsia="es-CO"/>
        </w:rPr>
        <w:t>Se entiende por incapacidad temporal, aquella que según el cuadro agudo de la enfermedad o lesión que presente el afiliado al Sistema General de Riesgos Profesionales, le impida desempeñar su capacidad laboral por un tiempo determinado</w:t>
      </w:r>
      <w:r w:rsidRPr="006B7C5C">
        <w:rPr>
          <w:rFonts w:eastAsia="Times New Roman" w:cs="Times New Roman"/>
          <w:szCs w:val="24"/>
          <w:lang w:eastAsia="es-CO"/>
        </w:rPr>
        <w:t>.</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Artículo 5°. Incapacidad permanente parcial. </w:t>
      </w:r>
      <w:r w:rsidRPr="006B7C5C">
        <w:rPr>
          <w:rFonts w:eastAsia="Times New Roman" w:cs="Times New Roman"/>
          <w:i/>
          <w:iCs/>
          <w:szCs w:val="24"/>
          <w:lang w:eastAsia="es-CO"/>
        </w:rPr>
        <w:t>Se considera como incapacitado permanente parcial, al afiliado que, como consecuencia de un accidente de trabajo o de una enfermedad profesional, presenta una disminución definitiva, igual o superior al cinco por ciento 5%, pero inferior al cincuenta por ciento 50% de su capacidad laboral, para lo cual ha sido contratado o capacitado.</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La incapacidad permanente parcial se presenta cuando el afiliado al Sistema General de Riesgos Profesionales, como consecuencia de un accidente de trabajo o de una enfermedad profesional, sufre una disminución parcial, pero definitiva en alguna o algunas de sus facultades para realizar su trabajo habitual, en los porcentajes establecidos en el inciso anterior.</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szCs w:val="24"/>
          <w:lang w:eastAsia="es-CO"/>
        </w:rPr>
        <w:t>      </w:t>
      </w:r>
      <w:r w:rsidRPr="006B7C5C">
        <w:rPr>
          <w:rFonts w:eastAsia="Times New Roman" w:cs="Times New Roman"/>
          <w:b/>
          <w:bCs/>
          <w:i/>
          <w:iCs/>
          <w:szCs w:val="24"/>
          <w:lang w:eastAsia="es-CO"/>
        </w:rPr>
        <w:t>Ley 100 de 1993. Artículo 206. Incapacidades. </w:t>
      </w:r>
      <w:r w:rsidRPr="006B7C5C">
        <w:rPr>
          <w:rFonts w:eastAsia="Times New Roman" w:cs="Times New Roman"/>
          <w:i/>
          <w:iCs/>
          <w:szCs w:val="24"/>
          <w:lang w:eastAsia="es-CO"/>
        </w:rPr>
        <w:t>Para los afiliados de que trata el literal a) del artículo 157, el régimen contributivo reconocerá las incapacidades generadas </w:t>
      </w:r>
      <w:r w:rsidRPr="006B7C5C">
        <w:rPr>
          <w:rFonts w:eastAsia="Times New Roman" w:cs="Times New Roman"/>
          <w:i/>
          <w:iCs/>
          <w:szCs w:val="24"/>
          <w:u w:val="single"/>
          <w:lang w:eastAsia="es-CO"/>
        </w:rPr>
        <w:t>en enfermedad general</w:t>
      </w:r>
      <w:r w:rsidRPr="006B7C5C">
        <w:rPr>
          <w:rFonts w:eastAsia="Times New Roman" w:cs="Times New Roman"/>
          <w:i/>
          <w:iCs/>
          <w:szCs w:val="24"/>
          <w:lang w:eastAsia="es-CO"/>
        </w:rPr>
        <w:t>, de conformidad con las disposiciones legales vigentes. Para el cubrimiento de estos riesgos las Empresas Promotoras de Salud podrán subcontratar con compañías aseguradoras. </w:t>
      </w:r>
      <w:r w:rsidRPr="006B7C5C">
        <w:rPr>
          <w:rFonts w:eastAsia="Times New Roman" w:cs="Times New Roman"/>
          <w:i/>
          <w:iCs/>
          <w:szCs w:val="24"/>
          <w:u w:val="single"/>
          <w:lang w:eastAsia="es-CO"/>
        </w:rPr>
        <w:t>Las incapacidades originadas en enfermedad profesional y accidente de trabajo</w:t>
      </w:r>
      <w:r w:rsidRPr="006B7C5C">
        <w:rPr>
          <w:rFonts w:eastAsia="Times New Roman" w:cs="Times New Roman"/>
          <w:i/>
          <w:iCs/>
          <w:szCs w:val="24"/>
          <w:lang w:eastAsia="es-CO"/>
        </w:rPr>
        <w:t> serán reconocidas por las Entidades Promotoras de Salud y se financiarán con cargo a los recursos destinados para el pago de dichas contingencias en el respectivo régimen, de acuerdo con la reglamentación que se expida para el efecto.</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r w:rsidRPr="006B7C5C">
        <w:rPr>
          <w:rFonts w:eastAsia="Times New Roman" w:cs="Times New Roman"/>
          <w:szCs w:val="24"/>
          <w:lang w:eastAsia="es-CO"/>
        </w:rPr>
        <w:t>Subrayado Fuera del texto.</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Ley 1562 de 2012:</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w:t>
      </w:r>
    </w:p>
    <w:p w:rsidR="00796214" w:rsidRDefault="00796214" w:rsidP="00796214">
      <w:pPr>
        <w:spacing w:after="0" w:line="240" w:lineRule="auto"/>
        <w:ind w:left="284"/>
        <w:jc w:val="both"/>
        <w:rPr>
          <w:rFonts w:eastAsia="Times New Roman" w:cs="Times New Roman"/>
          <w:i/>
          <w:iCs/>
          <w:szCs w:val="24"/>
          <w:lang w:eastAsia="es-CO"/>
        </w:rPr>
      </w:pPr>
      <w:r w:rsidRPr="006B7C5C">
        <w:rPr>
          <w:rFonts w:eastAsia="Times New Roman" w:cs="Times New Roman"/>
          <w:szCs w:val="24"/>
          <w:lang w:eastAsia="es-CO"/>
        </w:rPr>
        <w:t>      </w:t>
      </w:r>
      <w:r w:rsidRPr="006B7C5C">
        <w:rPr>
          <w:rFonts w:eastAsia="Times New Roman" w:cs="Times New Roman"/>
          <w:b/>
          <w:bCs/>
          <w:i/>
          <w:iCs/>
          <w:szCs w:val="24"/>
          <w:lang w:eastAsia="es-CO"/>
        </w:rPr>
        <w:t>Artículo 3°. Accidente de trabajo. </w:t>
      </w:r>
      <w:r w:rsidRPr="006B7C5C">
        <w:rPr>
          <w:rFonts w:eastAsia="Times New Roman" w:cs="Times New Roman"/>
          <w:i/>
          <w:iCs/>
          <w:szCs w:val="24"/>
          <w:lang w:eastAsia="es-CO"/>
        </w:rPr>
        <w:t>Es accidente de trabajo todo suceso repentino que sobrevenga por causa o con ocasión del trabajo, y que produzca en el trabajador una lesión orgánica, una perturbación funcional o psiquiátrica, una invalidez o la muerte.</w:t>
      </w:r>
    </w:p>
    <w:p w:rsidR="001048A0" w:rsidRPr="006B7C5C" w:rsidRDefault="001048A0" w:rsidP="00796214">
      <w:pPr>
        <w:spacing w:after="0" w:line="240" w:lineRule="auto"/>
        <w:ind w:left="284"/>
        <w:jc w:val="both"/>
        <w:rPr>
          <w:rFonts w:eastAsia="Times New Roman" w:cs="Times New Roman"/>
          <w:szCs w:val="24"/>
          <w:lang w:eastAsia="es-CO"/>
        </w:rPr>
      </w:pP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szCs w:val="24"/>
          <w:lang w:eastAsia="es-CO"/>
        </w:rPr>
        <w:lastRenderedPageBreak/>
        <w:t>      </w:t>
      </w:r>
      <w:r w:rsidRPr="006B7C5C">
        <w:rPr>
          <w:rFonts w:eastAsia="Times New Roman" w:cs="Times New Roman"/>
          <w:b/>
          <w:bCs/>
          <w:i/>
          <w:iCs/>
          <w:szCs w:val="24"/>
          <w:lang w:eastAsia="es-CO"/>
        </w:rPr>
        <w:t>Artículo 4°. Enfermedad laboral. </w:t>
      </w:r>
      <w:r w:rsidRPr="006B7C5C">
        <w:rPr>
          <w:rFonts w:eastAsia="Times New Roman" w:cs="Times New Roman"/>
          <w:i/>
          <w:iCs/>
          <w:szCs w:val="24"/>
          <w:lang w:eastAsia="es-CO"/>
        </w:rPr>
        <w:t xml:space="preserve">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w:t>
      </w:r>
      <w:proofErr w:type="gramStart"/>
      <w:r w:rsidRPr="006B7C5C">
        <w:rPr>
          <w:rFonts w:eastAsia="Times New Roman" w:cs="Times New Roman"/>
          <w:i/>
          <w:iCs/>
          <w:szCs w:val="24"/>
          <w:lang w:eastAsia="es-CO"/>
        </w:rPr>
        <w:t>será</w:t>
      </w:r>
      <w:proofErr w:type="gramEnd"/>
      <w:r w:rsidRPr="006B7C5C">
        <w:rPr>
          <w:rFonts w:eastAsia="Times New Roman" w:cs="Times New Roman"/>
          <w:i/>
          <w:iCs/>
          <w:szCs w:val="24"/>
          <w:lang w:eastAsia="es-CO"/>
        </w:rPr>
        <w:t xml:space="preserve"> reconocida como enfermedad laboral, conforme lo establecido en las normas legales vigentes.</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Parágrafo 1°. </w:t>
      </w:r>
      <w:r w:rsidRPr="006B7C5C">
        <w:rPr>
          <w:rFonts w:eastAsia="Times New Roman" w:cs="Times New Roman"/>
          <w:i/>
          <w:iCs/>
          <w:szCs w:val="24"/>
          <w:lang w:eastAsia="es-CO"/>
        </w:rPr>
        <w:t>El Gobierno nacional, previo concepto del Consejo Nacional de Riesgos Laborales, determinará, en forma periódica, las enfermedades que se consideran como laborales.</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Parágrafo 2°. </w:t>
      </w:r>
      <w:r w:rsidRPr="006B7C5C">
        <w:rPr>
          <w:rFonts w:eastAsia="Times New Roman" w:cs="Times New Roman"/>
          <w:i/>
          <w:iCs/>
          <w:szCs w:val="24"/>
          <w:lang w:eastAsia="es-CO"/>
        </w:rPr>
        <w:t>Para tal efecto, el Ministerio de Salud y Protección Social y el Ministerio de Trabajo, realizarán una actualización de la tabla de enfermedades laborales por lo menos cada tres (3) años atendiendo a los estudios técnicos financiados por el Fondo Nacional de Riesgos Laborales.</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1048A0" w:rsidRDefault="00796214" w:rsidP="00796214">
      <w:pPr>
        <w:spacing w:after="0" w:line="240" w:lineRule="auto"/>
        <w:jc w:val="both"/>
        <w:rPr>
          <w:rFonts w:eastAsia="Times New Roman" w:cs="Times New Roman"/>
          <w:b/>
          <w:sz w:val="28"/>
          <w:szCs w:val="28"/>
          <w:lang w:eastAsia="es-CO"/>
        </w:rPr>
      </w:pPr>
      <w:r w:rsidRPr="006B7C5C">
        <w:rPr>
          <w:rFonts w:eastAsia="Times New Roman" w:cs="Times New Roman"/>
          <w:szCs w:val="24"/>
          <w:lang w:eastAsia="es-CO"/>
        </w:rPr>
        <w:t>Así las cosas, la exención atribuible al pago o abono en cuenta de la indemnización por accidente o enfermedad de trabajo, a la que se refiere el numeral 1 del </w:t>
      </w:r>
      <w:hyperlink r:id="rId11" w:tooltip="Estatuto Tributario CETA" w:history="1">
        <w:r w:rsidRPr="006B7C5C">
          <w:rPr>
            <w:rFonts w:eastAsia="Times New Roman" w:cs="Times New Roman"/>
            <w:szCs w:val="24"/>
            <w:lang w:eastAsia="es-CO"/>
          </w:rPr>
          <w:t>artículo 206</w:t>
        </w:r>
      </w:hyperlink>
      <w:r w:rsidRPr="006B7C5C">
        <w:rPr>
          <w:rFonts w:eastAsia="Times New Roman" w:cs="Times New Roman"/>
          <w:szCs w:val="24"/>
          <w:lang w:eastAsia="es-CO"/>
        </w:rPr>
        <w:t xml:space="preserve"> del Estatuto Tributario, es solo aplicable al pago o abono en cuenta por este concepto </w:t>
      </w:r>
      <w:r w:rsidRPr="001048A0">
        <w:rPr>
          <w:rFonts w:eastAsia="Times New Roman" w:cs="Times New Roman"/>
          <w:b/>
          <w:sz w:val="28"/>
          <w:szCs w:val="28"/>
          <w:lang w:eastAsia="es-CO"/>
        </w:rPr>
        <w:t>y no puede hacerse extensivo al pago por incapacidades al empleado, aunque sean estas posiblemente fuente para que se genere una indemnización.</w:t>
      </w:r>
    </w:p>
    <w:p w:rsidR="00796214" w:rsidRPr="001048A0" w:rsidRDefault="00796214" w:rsidP="00796214">
      <w:pPr>
        <w:spacing w:after="0" w:line="240" w:lineRule="auto"/>
        <w:jc w:val="both"/>
        <w:rPr>
          <w:rFonts w:eastAsia="Times New Roman" w:cs="Times New Roman"/>
          <w:b/>
          <w:sz w:val="28"/>
          <w:szCs w:val="28"/>
          <w:lang w:eastAsia="es-CO"/>
        </w:rPr>
      </w:pPr>
      <w:r w:rsidRPr="001048A0">
        <w:rPr>
          <w:rFonts w:eastAsia="Times New Roman" w:cs="Times New Roman"/>
          <w:b/>
          <w:sz w:val="28"/>
          <w:szCs w:val="28"/>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Lo anterior en virtud del principio de legalidad, consagrado en el artículo 338 de la Constitución Política, en materia de impuestos, las exoneraciones, exclusiones o hechos que no causan impuesto, son de interpretación restrictiva, limitada y se concretan a las expresamente señaladas por la ley.</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1048A0" w:rsidRDefault="00796214" w:rsidP="00796214">
      <w:pPr>
        <w:spacing w:after="0" w:line="240" w:lineRule="auto"/>
        <w:jc w:val="both"/>
        <w:rPr>
          <w:rFonts w:eastAsia="Times New Roman" w:cs="Times New Roman"/>
          <w:b/>
          <w:szCs w:val="24"/>
          <w:lang w:eastAsia="es-CO"/>
        </w:rPr>
      </w:pPr>
      <w:r w:rsidRPr="001048A0">
        <w:rPr>
          <w:rFonts w:eastAsia="Times New Roman" w:cs="Times New Roman"/>
          <w:b/>
          <w:szCs w:val="24"/>
          <w:lang w:eastAsia="es-CO"/>
        </w:rPr>
        <w:t>Ahora bien, es importante precisar que el pago de incapacidades laborales sustituye al salario durante el tiempo en que el trabajador permanece retirado de sus labores por enfermedad debidamente certificada y comprobada.</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1048A0" w:rsidRDefault="00796214" w:rsidP="00796214">
      <w:pPr>
        <w:spacing w:after="0" w:line="240" w:lineRule="auto"/>
        <w:jc w:val="both"/>
        <w:rPr>
          <w:rFonts w:eastAsia="Times New Roman" w:cs="Times New Roman"/>
          <w:b/>
          <w:szCs w:val="24"/>
          <w:lang w:eastAsia="es-CO"/>
        </w:rPr>
      </w:pPr>
      <w:r w:rsidRPr="001048A0">
        <w:rPr>
          <w:rFonts w:eastAsia="Times New Roman" w:cs="Times New Roman"/>
          <w:b/>
          <w:szCs w:val="24"/>
          <w:lang w:eastAsia="es-CO"/>
        </w:rPr>
        <w:t xml:space="preserve">En virtud de lo anterior, es menester concluir que la exención no depende de quién efectúe el pago, sino en determinar si cumple con la categoría de indemnización para que se produzca el beneficio tributario, por lo tanto, el pago por incapacidades laborales </w:t>
      </w:r>
      <w:bookmarkStart w:id="0" w:name="_GoBack"/>
      <w:bookmarkEnd w:id="0"/>
      <w:r w:rsidRPr="001048A0">
        <w:rPr>
          <w:rFonts w:eastAsia="Times New Roman" w:cs="Times New Roman"/>
          <w:b/>
          <w:szCs w:val="24"/>
          <w:lang w:eastAsia="es-CO"/>
        </w:rPr>
        <w:t>no tiene el mismo tratamiento del numeral 1 del </w:t>
      </w:r>
      <w:hyperlink r:id="rId12" w:tooltip="Estatuto Tributario CETA" w:history="1">
        <w:r w:rsidRPr="001048A0">
          <w:rPr>
            <w:rFonts w:eastAsia="Times New Roman" w:cs="Times New Roman"/>
            <w:b/>
            <w:szCs w:val="24"/>
            <w:lang w:eastAsia="es-CO"/>
          </w:rPr>
          <w:t>artículo 206</w:t>
        </w:r>
      </w:hyperlink>
      <w:r w:rsidRPr="001048A0">
        <w:rPr>
          <w:rFonts w:eastAsia="Times New Roman" w:cs="Times New Roman"/>
          <w:b/>
          <w:szCs w:val="24"/>
          <w:lang w:eastAsia="es-CO"/>
        </w:rPr>
        <w:t> del Estatuto Tributario.</w:t>
      </w:r>
    </w:p>
    <w:p w:rsidR="00796214" w:rsidRPr="001048A0" w:rsidRDefault="00796214" w:rsidP="00796214">
      <w:pPr>
        <w:spacing w:after="0" w:line="240" w:lineRule="auto"/>
        <w:jc w:val="both"/>
        <w:rPr>
          <w:rFonts w:eastAsia="Times New Roman" w:cs="Times New Roman"/>
          <w:b/>
          <w:szCs w:val="24"/>
          <w:lang w:eastAsia="es-CO"/>
        </w:rPr>
      </w:pPr>
      <w:r w:rsidRPr="001048A0">
        <w:rPr>
          <w:rFonts w:eastAsia="Times New Roman" w:cs="Times New Roman"/>
          <w:b/>
          <w:szCs w:val="24"/>
          <w:lang w:eastAsia="es-CO"/>
        </w:rPr>
        <w:t> </w:t>
      </w:r>
    </w:p>
    <w:p w:rsidR="00796214" w:rsidRPr="006B7C5C" w:rsidRDefault="00796214" w:rsidP="00796214">
      <w:pPr>
        <w:spacing w:after="0" w:line="240" w:lineRule="auto"/>
        <w:jc w:val="both"/>
        <w:rPr>
          <w:rFonts w:eastAsia="Times New Roman" w:cs="Times New Roman"/>
          <w:b/>
          <w:szCs w:val="24"/>
          <w:lang w:eastAsia="es-CO"/>
        </w:rPr>
      </w:pPr>
      <w:r w:rsidRPr="006B7C5C">
        <w:rPr>
          <w:rFonts w:eastAsia="Times New Roman" w:cs="Times New Roman"/>
          <w:b/>
          <w:szCs w:val="24"/>
          <w:lang w:eastAsia="es-CO"/>
        </w:rPr>
        <w:t>Este despacho se pronunció en Oficio 53358 del 3 de septiembre de 2014, sobre el particular, señalando:</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 </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lastRenderedPageBreak/>
        <w:t>En virtud de lo anterior, la Administración de Impuestos encuentra que el pago proveniente de una incapacidad laboral ya sea accidente de trabajo o enfermedad se encuentran exentas del impuesto sobre la renta y complementarios en relación con el </w:t>
      </w:r>
      <w:hyperlink r:id="rId13" w:tooltip="Estatuto Tributario CETA" w:history="1">
        <w:r w:rsidRPr="006B7C5C">
          <w:rPr>
            <w:rFonts w:eastAsia="Times New Roman" w:cs="Times New Roman"/>
            <w:b/>
            <w:i/>
            <w:iCs/>
            <w:szCs w:val="24"/>
            <w:lang w:eastAsia="es-CO"/>
          </w:rPr>
          <w:t>artículo 206</w:t>
        </w:r>
      </w:hyperlink>
      <w:r w:rsidRPr="006B7C5C">
        <w:rPr>
          <w:rFonts w:eastAsia="Times New Roman" w:cs="Times New Roman"/>
          <w:b/>
          <w:i/>
          <w:iCs/>
          <w:szCs w:val="24"/>
          <w:lang w:eastAsia="es-CO"/>
        </w:rPr>
        <w:t> del Estatuto Tributario, beneficiando de esta forma las sumas que por tal concepto percibe el beneficiario de este ingreso que es el trabajador y, en efecto, el titular de la prerrogativa fiscal.</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w:t>
      </w:r>
    </w:p>
    <w:p w:rsidR="00796214" w:rsidRPr="006B7C5C" w:rsidRDefault="00796214" w:rsidP="00796214">
      <w:pPr>
        <w:spacing w:after="0" w:line="240" w:lineRule="auto"/>
        <w:jc w:val="both"/>
        <w:rPr>
          <w:rFonts w:eastAsia="Times New Roman" w:cs="Times New Roman"/>
          <w:b/>
          <w:szCs w:val="24"/>
          <w:lang w:eastAsia="es-CO"/>
        </w:rPr>
      </w:pPr>
      <w:r w:rsidRPr="006B7C5C">
        <w:rPr>
          <w:rFonts w:eastAsia="Times New Roman" w:cs="Times New Roman"/>
          <w:b/>
          <w:szCs w:val="24"/>
          <w:lang w:eastAsia="es-CO"/>
        </w:rPr>
        <w:t> </w:t>
      </w:r>
    </w:p>
    <w:p w:rsidR="00796214" w:rsidRPr="006B7C5C" w:rsidRDefault="00796214" w:rsidP="00796214">
      <w:pPr>
        <w:spacing w:after="0" w:line="240" w:lineRule="auto"/>
        <w:jc w:val="both"/>
        <w:rPr>
          <w:rFonts w:eastAsia="Times New Roman" w:cs="Times New Roman"/>
          <w:b/>
          <w:szCs w:val="24"/>
          <w:lang w:eastAsia="es-CO"/>
        </w:rPr>
      </w:pPr>
      <w:r w:rsidRPr="006B7C5C">
        <w:rPr>
          <w:rFonts w:eastAsia="Times New Roman" w:cs="Times New Roman"/>
          <w:b/>
          <w:szCs w:val="24"/>
          <w:lang w:eastAsia="es-CO"/>
        </w:rPr>
        <w:t>También, en el Oficio 012642 de diciembre de 2008, en su acápite pertinente manifestó:</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 </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A la luz del numeral 1 del </w:t>
      </w:r>
      <w:hyperlink r:id="rId14" w:tooltip="Estatuto Tributario CETA" w:history="1">
        <w:r w:rsidRPr="006B7C5C">
          <w:rPr>
            <w:rFonts w:eastAsia="Times New Roman" w:cs="Times New Roman"/>
            <w:b/>
            <w:i/>
            <w:iCs/>
            <w:szCs w:val="24"/>
            <w:lang w:eastAsia="es-CO"/>
          </w:rPr>
          <w:t>artículo 206</w:t>
        </w:r>
      </w:hyperlink>
      <w:r w:rsidRPr="006B7C5C">
        <w:rPr>
          <w:rFonts w:eastAsia="Times New Roman" w:cs="Times New Roman"/>
          <w:b/>
          <w:i/>
          <w:iCs/>
          <w:szCs w:val="24"/>
          <w:lang w:eastAsia="es-CO"/>
        </w:rPr>
        <w:t> del Estatuto Tributario, se encuentran exentos del impuesto sobre la renta, los pagos que correspondan a indemnizaciones por accidente de trabajo o enfermedad, en virtud de lo cual, los ingresos de los empleados originados en incapacidades por enfermedad general reconocidos por las EPS, no se encuentran sometidos a retención en la fuente.</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b/>
          <w:szCs w:val="24"/>
          <w:lang w:eastAsia="es-CO"/>
        </w:rPr>
      </w:pPr>
      <w:r w:rsidRPr="006B7C5C">
        <w:rPr>
          <w:rFonts w:eastAsia="Times New Roman" w:cs="Times New Roman"/>
          <w:b/>
          <w:szCs w:val="24"/>
          <w:lang w:eastAsia="es-CO"/>
        </w:rPr>
        <w:t>Y en Concepto 006728 de febrero de 1998, expuso:</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 </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 respecto del tratamiento tributario de los pagos hechos por incapacidad y licencia de maternidad, de acuerdo al </w:t>
      </w:r>
      <w:hyperlink r:id="rId15" w:tooltip="Estatuto Tributario CETA" w:history="1">
        <w:r w:rsidRPr="006B7C5C">
          <w:rPr>
            <w:rFonts w:eastAsia="Times New Roman" w:cs="Times New Roman"/>
            <w:b/>
            <w:i/>
            <w:iCs/>
            <w:szCs w:val="24"/>
            <w:lang w:eastAsia="es-CO"/>
          </w:rPr>
          <w:t>artículo 206</w:t>
        </w:r>
      </w:hyperlink>
      <w:r w:rsidRPr="006B7C5C">
        <w:rPr>
          <w:rFonts w:eastAsia="Times New Roman" w:cs="Times New Roman"/>
          <w:b/>
          <w:i/>
          <w:iCs/>
          <w:szCs w:val="24"/>
          <w:lang w:eastAsia="es-CO"/>
        </w:rPr>
        <w:t> del Estatuto Tributario son exentos en cabeza del beneficiario los pagos por indemnización que impliquen protección a la maternidad y por enfermedad general o por accidente de trabajo no sometidos a retención en la fuente. Tampoco lo estarán los reintegros de sobrantes que realicen, las EPS a las cuentas de compensación del Fondo de Solidaridad y Garantía, por cuanto el principio general para que se cause la retención en la fuente es que exista un ingreso gravado susceptible de producir un incremento neto en el patrimonio.</w:t>
      </w:r>
    </w:p>
    <w:p w:rsidR="00796214" w:rsidRPr="006B7C5C" w:rsidRDefault="00796214" w:rsidP="00796214">
      <w:pPr>
        <w:spacing w:after="0" w:line="240" w:lineRule="auto"/>
        <w:ind w:left="284"/>
        <w:jc w:val="both"/>
        <w:rPr>
          <w:rFonts w:eastAsia="Times New Roman" w:cs="Times New Roman"/>
          <w:b/>
          <w:szCs w:val="24"/>
          <w:lang w:eastAsia="es-CO"/>
        </w:rPr>
      </w:pPr>
      <w:r w:rsidRPr="006B7C5C">
        <w:rPr>
          <w:rFonts w:eastAsia="Times New Roman" w:cs="Times New Roman"/>
          <w:b/>
          <w:i/>
          <w:iCs/>
          <w:szCs w:val="24"/>
          <w:lang w:eastAsia="es-CO"/>
        </w:rPr>
        <w:t>(…)</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b/>
          <w:szCs w:val="24"/>
          <w:u w:val="single"/>
          <w:lang w:eastAsia="es-CO"/>
        </w:rPr>
      </w:pPr>
      <w:r w:rsidRPr="006B7C5C">
        <w:rPr>
          <w:rFonts w:eastAsia="Times New Roman" w:cs="Times New Roman"/>
          <w:b/>
          <w:szCs w:val="24"/>
          <w:u w:val="single"/>
          <w:lang w:eastAsia="es-CO"/>
        </w:rPr>
        <w:t>En virtud de lo anterior, y conforme a la obligación legal de mantener la unidad de interpretación doctrinal, el despacho considera necesario revocar el Oficio 53358 del 3 de septiembre de 2014, Oficio 012642 de diciembre de 2008 y el Concepto 006728 de febrero de 1998.</w:t>
      </w:r>
    </w:p>
    <w:p w:rsidR="00796214" w:rsidRPr="006B7C5C" w:rsidRDefault="00796214" w:rsidP="00796214">
      <w:pPr>
        <w:spacing w:after="0" w:line="240" w:lineRule="auto"/>
        <w:ind w:left="284"/>
        <w:jc w:val="both"/>
        <w:rPr>
          <w:rFonts w:eastAsia="Times New Roman" w:cs="Times New Roman"/>
          <w:b/>
          <w:szCs w:val="24"/>
          <w:u w:val="single"/>
          <w:lang w:eastAsia="es-CO"/>
        </w:rPr>
      </w:pPr>
      <w:r w:rsidRPr="006B7C5C">
        <w:rPr>
          <w:rFonts w:eastAsia="Times New Roman" w:cs="Times New Roman"/>
          <w:b/>
          <w:i/>
          <w:iCs/>
          <w:szCs w:val="24"/>
          <w:u w:val="single"/>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2. ¿Puede disminuirse la base de retención en la fuente por salarios con la renta exenta de que trata el numeral 1 del </w:t>
      </w:r>
      <w:hyperlink r:id="rId16" w:tooltip="Estatuto Tributario CETA" w:history="1">
        <w:r w:rsidRPr="006B7C5C">
          <w:rPr>
            <w:rFonts w:eastAsia="Times New Roman" w:cs="Times New Roman"/>
            <w:i/>
            <w:iCs/>
            <w:szCs w:val="24"/>
            <w:lang w:eastAsia="es-CO"/>
          </w:rPr>
          <w:t>artículo 206</w:t>
        </w:r>
      </w:hyperlink>
      <w:r w:rsidRPr="006B7C5C">
        <w:rPr>
          <w:rFonts w:eastAsia="Times New Roman" w:cs="Times New Roman"/>
          <w:i/>
          <w:iCs/>
          <w:szCs w:val="24"/>
          <w:lang w:eastAsia="es-CO"/>
        </w:rPr>
        <w:t> del Estatuto Tributario, cuando se trate de trabajadores declarantes de renta, cuya retención en la fuente deba determinarse por el IMAN, independientemente que quien reconozca el pago a ser considerado como renta exenta sea la EPS o una ARL?</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Al respecto, este despacho considera:</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lastRenderedPageBreak/>
        <w:t>El Estatuto Tributario en su </w:t>
      </w:r>
      <w:hyperlink r:id="rId17" w:tooltip="Estatuto Tributario CETA" w:history="1">
        <w:r w:rsidRPr="006B7C5C">
          <w:rPr>
            <w:rFonts w:eastAsia="Times New Roman" w:cs="Times New Roman"/>
            <w:szCs w:val="24"/>
            <w:lang w:eastAsia="es-CO"/>
          </w:rPr>
          <w:t>artículo 332</w:t>
        </w:r>
      </w:hyperlink>
      <w:r w:rsidRPr="006B7C5C">
        <w:rPr>
          <w:rFonts w:eastAsia="Times New Roman" w:cs="Times New Roman"/>
          <w:szCs w:val="24"/>
          <w:lang w:eastAsia="es-CO"/>
        </w:rPr>
        <w:t> contempla el procedimiento de depuración de la renta gravable alternativa por el sistema de declaración de renta (IMAN), no obstante, estipula de manera taxativa los conceptos a descontar de los ingresos obtenidos, entre otros, el tema materia de análisis numeral </w:t>
      </w:r>
      <w:r w:rsidRPr="006B7C5C">
        <w:rPr>
          <w:rFonts w:eastAsia="Times New Roman" w:cs="Times New Roman"/>
          <w:b/>
          <w:bCs/>
          <w:szCs w:val="24"/>
          <w:lang w:eastAsia="es-CO"/>
        </w:rPr>
        <w:t>i) indemnización por accidente y enfermedad de trabajo</w:t>
      </w:r>
      <w:r w:rsidRPr="006B7C5C">
        <w:rPr>
          <w:rFonts w:eastAsia="Times New Roman" w:cs="Times New Roman"/>
          <w:szCs w:val="24"/>
          <w:lang w:eastAsia="es-CO"/>
        </w:rPr>
        <w:t>, para efectos de obtener una base gravable del impuesto sobre la renta.</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Ahora bien, en otro campo, encontramos el proceso de depuración de la base gravable de la retención en la fuente mínima para empleados expresada por el </w:t>
      </w:r>
      <w:hyperlink r:id="rId18" w:tooltip="Estatuto Tributario CETA" w:history="1">
        <w:r w:rsidRPr="006B7C5C">
          <w:rPr>
            <w:rFonts w:eastAsia="Times New Roman" w:cs="Times New Roman"/>
            <w:szCs w:val="24"/>
            <w:lang w:eastAsia="es-CO"/>
          </w:rPr>
          <w:t>artículo 384</w:t>
        </w:r>
      </w:hyperlink>
      <w:r w:rsidRPr="006B7C5C">
        <w:rPr>
          <w:rFonts w:eastAsia="Times New Roman" w:cs="Times New Roman"/>
          <w:szCs w:val="24"/>
          <w:lang w:eastAsia="es-CO"/>
        </w:rPr>
        <w:t> del Estatuto Tributario, los cuales a diferencia del método de depuración de la retención ordinaria expuesta en el </w:t>
      </w:r>
      <w:hyperlink r:id="rId19" w:tooltip="Estatuto Tributario CETA" w:history="1">
        <w:r w:rsidRPr="006B7C5C">
          <w:rPr>
            <w:rFonts w:eastAsia="Times New Roman" w:cs="Times New Roman"/>
            <w:szCs w:val="24"/>
            <w:lang w:eastAsia="es-CO"/>
          </w:rPr>
          <w:t>artículo 383</w:t>
        </w:r>
      </w:hyperlink>
      <w:r w:rsidRPr="006B7C5C">
        <w:rPr>
          <w:rFonts w:eastAsia="Times New Roman" w:cs="Times New Roman"/>
          <w:szCs w:val="24"/>
          <w:lang w:eastAsia="es-CO"/>
        </w:rPr>
        <w:t xml:space="preserve"> del E.T. constituye los pagos o abonos en cuenta mensuales o </w:t>
      </w:r>
      <w:proofErr w:type="spellStart"/>
      <w:r w:rsidRPr="006B7C5C">
        <w:rPr>
          <w:rFonts w:eastAsia="Times New Roman" w:cs="Times New Roman"/>
          <w:szCs w:val="24"/>
          <w:lang w:eastAsia="es-CO"/>
        </w:rPr>
        <w:t>mensualizados</w:t>
      </w:r>
      <w:proofErr w:type="spellEnd"/>
      <w:r w:rsidRPr="006B7C5C">
        <w:rPr>
          <w:rFonts w:eastAsia="Times New Roman" w:cs="Times New Roman"/>
          <w:szCs w:val="24"/>
          <w:lang w:eastAsia="es-CO"/>
        </w:rPr>
        <w:t>, donde se restan únicamente los </w:t>
      </w:r>
      <w:r w:rsidRPr="006B7C5C">
        <w:rPr>
          <w:rFonts w:eastAsia="Times New Roman" w:cs="Times New Roman"/>
          <w:szCs w:val="24"/>
          <w:u w:val="single"/>
          <w:lang w:eastAsia="es-CO"/>
        </w:rPr>
        <w:t>aportes obligatorios al sistema general de seguridad social, a saber: salud, pensiones y riesgos laborales a cargo del empleado, más los conceptos relacionados en el artículo 6° del Decreto 1070 de 2013</w:t>
      </w:r>
      <w:r w:rsidRPr="006B7C5C">
        <w:rPr>
          <w:rFonts w:eastAsia="Times New Roman" w:cs="Times New Roman"/>
          <w:szCs w:val="24"/>
          <w:lang w:eastAsia="es-CO"/>
        </w:rPr>
        <w:t>. El valor resultante se convierte en UVT y se enfrenta a la tabla contenida en el </w:t>
      </w:r>
      <w:hyperlink r:id="rId20" w:tooltip="Estatuto Tributario CETA" w:history="1">
        <w:r w:rsidRPr="006B7C5C">
          <w:rPr>
            <w:rFonts w:eastAsia="Times New Roman" w:cs="Times New Roman"/>
            <w:szCs w:val="24"/>
            <w:lang w:eastAsia="es-CO"/>
          </w:rPr>
          <w:t>artículo 384</w:t>
        </w:r>
      </w:hyperlink>
      <w:r w:rsidRPr="006B7C5C">
        <w:rPr>
          <w:rFonts w:eastAsia="Times New Roman" w:cs="Times New Roman"/>
          <w:szCs w:val="24"/>
          <w:lang w:eastAsia="es-CO"/>
        </w:rPr>
        <w:t> del Estatuto Tributario para establecer el monto de la retención en la fuente.</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r w:rsidRPr="006B7C5C">
        <w:rPr>
          <w:rFonts w:eastAsia="Times New Roman" w:cs="Times New Roman"/>
          <w:b/>
          <w:bCs/>
          <w:i/>
          <w:iCs/>
          <w:szCs w:val="24"/>
          <w:lang w:eastAsia="es-CO"/>
        </w:rPr>
        <w:t>Decreto 1070 de 2013.</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b/>
          <w:bCs/>
          <w:i/>
          <w:iCs/>
          <w:szCs w:val="24"/>
          <w:lang w:eastAsia="es-CO"/>
        </w:rPr>
        <w:t>Artículo 6°. Depuración de la base gravable de la retención en la fuente mínima para empleados. </w:t>
      </w:r>
      <w:r w:rsidRPr="006B7C5C">
        <w:rPr>
          <w:rFonts w:eastAsia="Times New Roman" w:cs="Times New Roman"/>
          <w:i/>
          <w:iCs/>
          <w:szCs w:val="24"/>
          <w:lang w:eastAsia="es-CO"/>
        </w:rPr>
        <w:t>Para efectos del cálculo de la retención en la fuente mínima establecida en el </w:t>
      </w:r>
      <w:hyperlink r:id="rId21" w:tooltip="Estatuto Tributario CETA" w:history="1">
        <w:r w:rsidRPr="006B7C5C">
          <w:rPr>
            <w:rFonts w:eastAsia="Times New Roman" w:cs="Times New Roman"/>
            <w:i/>
            <w:iCs/>
            <w:szCs w:val="24"/>
            <w:lang w:eastAsia="es-CO"/>
          </w:rPr>
          <w:t>artículo 384</w:t>
        </w:r>
      </w:hyperlink>
      <w:r w:rsidRPr="006B7C5C">
        <w:rPr>
          <w:rFonts w:eastAsia="Times New Roman" w:cs="Times New Roman"/>
          <w:i/>
          <w:iCs/>
          <w:szCs w:val="24"/>
          <w:lang w:eastAsia="es-CO"/>
        </w:rPr>
        <w:t> del Estatuto Tributario, para los empleados cuyos ingresos provengan de una relación laboral, o legal y reglamentaria se podrán detraer además los siguientes conceptos:</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a) Los gastos de representación considerados como exentos de Impuesto sobre la Renta, según los requisitos y límites establecidos en el numeral 7 del </w:t>
      </w:r>
      <w:hyperlink r:id="rId22" w:tooltip="Estatuto Tributario CETA" w:history="1">
        <w:r w:rsidRPr="006B7C5C">
          <w:rPr>
            <w:rFonts w:eastAsia="Times New Roman" w:cs="Times New Roman"/>
            <w:i/>
            <w:iCs/>
            <w:szCs w:val="24"/>
            <w:lang w:eastAsia="es-CO"/>
          </w:rPr>
          <w:t>artículo 206</w:t>
        </w:r>
      </w:hyperlink>
      <w:r w:rsidRPr="006B7C5C">
        <w:rPr>
          <w:rFonts w:eastAsia="Times New Roman" w:cs="Times New Roman"/>
          <w:i/>
          <w:iCs/>
          <w:szCs w:val="24"/>
          <w:lang w:eastAsia="es-CO"/>
        </w:rPr>
        <w:t> del Estatuto Tributario;</w:t>
      </w:r>
    </w:p>
    <w:p w:rsidR="006B7C5C" w:rsidRPr="006B7C5C" w:rsidRDefault="006B7C5C" w:rsidP="00796214">
      <w:pPr>
        <w:spacing w:after="0" w:line="240" w:lineRule="auto"/>
        <w:ind w:left="284"/>
        <w:jc w:val="both"/>
        <w:rPr>
          <w:rFonts w:eastAsia="Times New Roman" w:cs="Times New Roman"/>
          <w:i/>
          <w:iCs/>
          <w:szCs w:val="24"/>
          <w:lang w:eastAsia="es-CO"/>
        </w:rPr>
      </w:pP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b) El exceso del salario básico de los oficiales y suboficiales de las Fuerzas Militares y la Policía Nacional;</w:t>
      </w:r>
    </w:p>
    <w:p w:rsidR="006B7C5C" w:rsidRPr="006B7C5C" w:rsidRDefault="006B7C5C" w:rsidP="00796214">
      <w:pPr>
        <w:spacing w:after="0" w:line="240" w:lineRule="auto"/>
        <w:ind w:left="284"/>
        <w:jc w:val="both"/>
        <w:rPr>
          <w:rFonts w:eastAsia="Times New Roman" w:cs="Times New Roman"/>
          <w:i/>
          <w:iCs/>
          <w:szCs w:val="24"/>
          <w:lang w:eastAsia="es-CO"/>
        </w:rPr>
      </w:pP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c) El pago correspondiente a la licencia de maternidad.</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En virtud de lo anterior, la ley establece los únicos conceptos con los cuales se puede disminuir la base gravable de retención en la fuente mínima para empleados, por lo tanto, en consecuencia, no es factible detraer de estos pagos o abonos en cuenta los derivados de una indemnización por accidente de trabajo o enfermedad al momento de depuración de la retención a la que se refiere el </w:t>
      </w:r>
      <w:hyperlink r:id="rId23" w:tooltip="Estatuto Tributario CETA" w:history="1">
        <w:r w:rsidRPr="006B7C5C">
          <w:rPr>
            <w:rFonts w:eastAsia="Times New Roman" w:cs="Times New Roman"/>
            <w:szCs w:val="24"/>
            <w:lang w:eastAsia="es-CO"/>
          </w:rPr>
          <w:t>artículo 384</w:t>
        </w:r>
      </w:hyperlink>
      <w:r w:rsidRPr="006B7C5C">
        <w:rPr>
          <w:rFonts w:eastAsia="Times New Roman" w:cs="Times New Roman"/>
          <w:szCs w:val="24"/>
          <w:lang w:eastAsia="es-CO"/>
        </w:rPr>
        <w:t> del Estatuto Tributario.</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En cuanto al asunto materia de discusión, este despacho en Oficio 068292 del 25 de octubre de 2013, ha manifestado:</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lastRenderedPageBreak/>
        <w:t>Desde esta perspectiva, debe tenerse presente que la retención en la fuente mínima guarda íntima relación con el Impuesto Mínimo Alternativo Nacional (IMAN) para empleados, y que por mandato de los artículos </w:t>
      </w:r>
      <w:hyperlink r:id="rId24" w:tooltip="Estatuto Tributario CETA" w:history="1">
        <w:r w:rsidRPr="006B7C5C">
          <w:rPr>
            <w:rFonts w:eastAsia="Times New Roman" w:cs="Times New Roman"/>
            <w:i/>
            <w:iCs/>
            <w:szCs w:val="24"/>
            <w:lang w:eastAsia="es-CO"/>
          </w:rPr>
          <w:t>330</w:t>
        </w:r>
      </w:hyperlink>
      <w:r w:rsidRPr="006B7C5C">
        <w:rPr>
          <w:rFonts w:eastAsia="Times New Roman" w:cs="Times New Roman"/>
          <w:i/>
          <w:iCs/>
          <w:szCs w:val="24"/>
          <w:lang w:eastAsia="es-CO"/>
        </w:rPr>
        <w:t> y </w:t>
      </w:r>
      <w:hyperlink r:id="rId25" w:tooltip="Estatuto Tributario CETA" w:history="1">
        <w:r w:rsidRPr="006B7C5C">
          <w:rPr>
            <w:rFonts w:eastAsia="Times New Roman" w:cs="Times New Roman"/>
            <w:i/>
            <w:iCs/>
            <w:szCs w:val="24"/>
            <w:lang w:eastAsia="es-CO"/>
          </w:rPr>
          <w:t>331</w:t>
        </w:r>
      </w:hyperlink>
      <w:r w:rsidRPr="006B7C5C">
        <w:rPr>
          <w:rFonts w:eastAsia="Times New Roman" w:cs="Times New Roman"/>
          <w:i/>
          <w:iCs/>
          <w:szCs w:val="24"/>
          <w:lang w:eastAsia="es-CO"/>
        </w:rPr>
        <w:t> del Estatuto Tributario, este sistema de determinación del impuesto sobre la renta, </w:t>
      </w:r>
      <w:r w:rsidRPr="006B7C5C">
        <w:rPr>
          <w:rFonts w:eastAsia="Times New Roman" w:cs="Times New Roman"/>
          <w:i/>
          <w:iCs/>
          <w:szCs w:val="24"/>
          <w:u w:val="single"/>
          <w:lang w:eastAsia="es-CO"/>
        </w:rPr>
        <w:t>solo admite los factores de depuración expresamente señalados en el </w:t>
      </w:r>
      <w:hyperlink r:id="rId26" w:tooltip="Estatuto Tributario CETA" w:history="1">
        <w:r w:rsidRPr="006B7C5C">
          <w:rPr>
            <w:rFonts w:eastAsia="Times New Roman" w:cs="Times New Roman"/>
            <w:i/>
            <w:iCs/>
            <w:szCs w:val="24"/>
            <w:lang w:eastAsia="es-CO"/>
          </w:rPr>
          <w:t>artículo 332</w:t>
        </w:r>
      </w:hyperlink>
      <w:r w:rsidRPr="006B7C5C">
        <w:rPr>
          <w:rFonts w:eastAsia="Times New Roman" w:cs="Times New Roman"/>
          <w:i/>
          <w:iCs/>
          <w:szCs w:val="24"/>
          <w:u w:val="single"/>
          <w:lang w:eastAsia="es-CO"/>
        </w:rPr>
        <w:t> ibídem</w:t>
      </w:r>
      <w:r w:rsidRPr="006B7C5C">
        <w:rPr>
          <w:rFonts w:eastAsia="Times New Roman" w:cs="Times New Roman"/>
          <w:i/>
          <w:iCs/>
          <w:szCs w:val="24"/>
          <w:lang w:eastAsia="es-CO"/>
        </w:rPr>
        <w:t>, dentro de los cuales no se mencionan los pagos laborales indirectos de que trata el artículo 5º del Decreto Reglamentario 3750 de 1986.</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En consonancia con lo anterior, sobre el alcance de los artículos </w:t>
      </w:r>
      <w:hyperlink r:id="rId27" w:tooltip="Estatuto Tributario CETA" w:history="1">
        <w:r w:rsidRPr="006B7C5C">
          <w:rPr>
            <w:rFonts w:eastAsia="Times New Roman" w:cs="Times New Roman"/>
            <w:i/>
            <w:iCs/>
            <w:szCs w:val="24"/>
            <w:lang w:eastAsia="es-CO"/>
          </w:rPr>
          <w:t>383</w:t>
        </w:r>
      </w:hyperlink>
      <w:r w:rsidRPr="006B7C5C">
        <w:rPr>
          <w:rFonts w:eastAsia="Times New Roman" w:cs="Times New Roman"/>
          <w:i/>
          <w:iCs/>
          <w:szCs w:val="24"/>
          <w:lang w:eastAsia="es-CO"/>
        </w:rPr>
        <w:t> y </w:t>
      </w:r>
      <w:hyperlink r:id="rId28" w:tooltip="Estatuto Tributario CETA" w:history="1">
        <w:r w:rsidRPr="006B7C5C">
          <w:rPr>
            <w:rFonts w:eastAsia="Times New Roman" w:cs="Times New Roman"/>
            <w:i/>
            <w:iCs/>
            <w:szCs w:val="24"/>
            <w:lang w:eastAsia="es-CO"/>
          </w:rPr>
          <w:t>384</w:t>
        </w:r>
      </w:hyperlink>
      <w:r w:rsidRPr="006B7C5C">
        <w:rPr>
          <w:rFonts w:eastAsia="Times New Roman" w:cs="Times New Roman"/>
          <w:i/>
          <w:iCs/>
          <w:szCs w:val="24"/>
          <w:lang w:eastAsia="es-CO"/>
        </w:rPr>
        <w:t> del Estatuto Tributario, este Despacho ha manifestado que el agente retenedor debe efectuar dos cálculos de la retención en la fuente, de acuerdo con los artículos </w:t>
      </w:r>
      <w:hyperlink r:id="rId29" w:tooltip="Estatuto Tributario CETA" w:history="1">
        <w:r w:rsidRPr="006B7C5C">
          <w:rPr>
            <w:rFonts w:eastAsia="Times New Roman" w:cs="Times New Roman"/>
            <w:i/>
            <w:iCs/>
            <w:szCs w:val="24"/>
            <w:lang w:eastAsia="es-CO"/>
          </w:rPr>
          <w:t>383</w:t>
        </w:r>
      </w:hyperlink>
      <w:r w:rsidRPr="006B7C5C">
        <w:rPr>
          <w:rFonts w:eastAsia="Times New Roman" w:cs="Times New Roman"/>
          <w:i/>
          <w:iCs/>
          <w:szCs w:val="24"/>
          <w:lang w:eastAsia="es-CO"/>
        </w:rPr>
        <w:t> y </w:t>
      </w:r>
      <w:hyperlink r:id="rId30" w:tooltip="Estatuto Tributario CETA" w:history="1">
        <w:r w:rsidRPr="006B7C5C">
          <w:rPr>
            <w:rFonts w:eastAsia="Times New Roman" w:cs="Times New Roman"/>
            <w:i/>
            <w:iCs/>
            <w:szCs w:val="24"/>
            <w:lang w:eastAsia="es-CO"/>
          </w:rPr>
          <w:t>384</w:t>
        </w:r>
      </w:hyperlink>
      <w:r w:rsidRPr="006B7C5C">
        <w:rPr>
          <w:rFonts w:eastAsia="Times New Roman" w:cs="Times New Roman"/>
          <w:i/>
          <w:iCs/>
          <w:szCs w:val="24"/>
          <w:lang w:eastAsia="es-CO"/>
        </w:rPr>
        <w:t> del Estatuto Tributario y debe descontar la retención en la fuente que resulte mayor al comparar los dos cálculos. Si la retención que arroja la tabla del </w:t>
      </w:r>
      <w:hyperlink r:id="rId31" w:tooltip="Estatuto Tributario CETA" w:history="1">
        <w:r w:rsidRPr="006B7C5C">
          <w:rPr>
            <w:rFonts w:eastAsia="Times New Roman" w:cs="Times New Roman"/>
            <w:i/>
            <w:iCs/>
            <w:szCs w:val="24"/>
            <w:lang w:eastAsia="es-CO"/>
          </w:rPr>
          <w:t>artículo 383</w:t>
        </w:r>
      </w:hyperlink>
      <w:r w:rsidRPr="006B7C5C">
        <w:rPr>
          <w:rFonts w:eastAsia="Times New Roman" w:cs="Times New Roman"/>
          <w:i/>
          <w:iCs/>
          <w:szCs w:val="24"/>
          <w:lang w:eastAsia="es-CO"/>
        </w:rPr>
        <w:t> es inferior a la de la tabla del </w:t>
      </w:r>
      <w:hyperlink r:id="rId32" w:tooltip="Estatuto Tributario CETA" w:history="1">
        <w:r w:rsidRPr="006B7C5C">
          <w:rPr>
            <w:rFonts w:eastAsia="Times New Roman" w:cs="Times New Roman"/>
            <w:i/>
            <w:iCs/>
            <w:szCs w:val="24"/>
            <w:lang w:eastAsia="es-CO"/>
          </w:rPr>
          <w:t>artículo 384</w:t>
        </w:r>
      </w:hyperlink>
      <w:r w:rsidRPr="006B7C5C">
        <w:rPr>
          <w:rFonts w:eastAsia="Times New Roman" w:cs="Times New Roman"/>
          <w:i/>
          <w:iCs/>
          <w:szCs w:val="24"/>
          <w:lang w:eastAsia="es-CO"/>
        </w:rPr>
        <w:t>, se debe practicar la retención del </w:t>
      </w:r>
      <w:hyperlink r:id="rId33" w:tooltip="Estatuto Tributario CETA" w:history="1">
        <w:r w:rsidRPr="006B7C5C">
          <w:rPr>
            <w:rFonts w:eastAsia="Times New Roman" w:cs="Times New Roman"/>
            <w:i/>
            <w:iCs/>
            <w:szCs w:val="24"/>
            <w:lang w:eastAsia="es-CO"/>
          </w:rPr>
          <w:t>artículo 384</w:t>
        </w:r>
      </w:hyperlink>
      <w:r w:rsidRPr="006B7C5C">
        <w:rPr>
          <w:rFonts w:eastAsia="Times New Roman" w:cs="Times New Roman"/>
          <w:i/>
          <w:iCs/>
          <w:szCs w:val="24"/>
          <w:lang w:eastAsia="es-CO"/>
        </w:rPr>
        <w:t> que es la retención mínima. Si la retención que arroja la tabla del </w:t>
      </w:r>
      <w:hyperlink r:id="rId34" w:tooltip="Estatuto Tributario CETA" w:history="1">
        <w:r w:rsidRPr="006B7C5C">
          <w:rPr>
            <w:rFonts w:eastAsia="Times New Roman" w:cs="Times New Roman"/>
            <w:i/>
            <w:iCs/>
            <w:szCs w:val="24"/>
            <w:lang w:eastAsia="es-CO"/>
          </w:rPr>
          <w:t>artículo 383</w:t>
        </w:r>
      </w:hyperlink>
      <w:r w:rsidRPr="006B7C5C">
        <w:rPr>
          <w:rFonts w:eastAsia="Times New Roman" w:cs="Times New Roman"/>
          <w:i/>
          <w:iCs/>
          <w:szCs w:val="24"/>
          <w:lang w:eastAsia="es-CO"/>
        </w:rPr>
        <w:t> es superior a la de la tabla del </w:t>
      </w:r>
      <w:hyperlink r:id="rId35" w:tooltip="Estatuto Tributario CETA" w:history="1">
        <w:r w:rsidRPr="006B7C5C">
          <w:rPr>
            <w:rFonts w:eastAsia="Times New Roman" w:cs="Times New Roman"/>
            <w:i/>
            <w:iCs/>
            <w:szCs w:val="24"/>
            <w:lang w:eastAsia="es-CO"/>
          </w:rPr>
          <w:t>artículo 384</w:t>
        </w:r>
      </w:hyperlink>
      <w:r w:rsidRPr="006B7C5C">
        <w:rPr>
          <w:rFonts w:eastAsia="Times New Roman" w:cs="Times New Roman"/>
          <w:i/>
          <w:iCs/>
          <w:szCs w:val="24"/>
          <w:lang w:eastAsia="es-CO"/>
        </w:rPr>
        <w:t>, se debe practicar la retención del </w:t>
      </w:r>
      <w:hyperlink r:id="rId36" w:tooltip="Estatuto Tributario CETA" w:history="1">
        <w:r w:rsidRPr="006B7C5C">
          <w:rPr>
            <w:rFonts w:eastAsia="Times New Roman" w:cs="Times New Roman"/>
            <w:i/>
            <w:iCs/>
            <w:szCs w:val="24"/>
            <w:lang w:eastAsia="es-CO"/>
          </w:rPr>
          <w:t>artículo 383</w:t>
        </w:r>
      </w:hyperlink>
      <w:r w:rsidRPr="006B7C5C">
        <w:rPr>
          <w:rFonts w:eastAsia="Times New Roman" w:cs="Times New Roman"/>
          <w:i/>
          <w:iCs/>
          <w:szCs w:val="24"/>
          <w:lang w:eastAsia="es-CO"/>
        </w:rPr>
        <w:t>.</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En este orden de ideas, es cierto que las modificaciones introducidas por la Ley 1607 de 2012, entre otros, a los artículos </w:t>
      </w:r>
      <w:hyperlink r:id="rId37" w:tooltip="Estatuto Tributario CETA" w:history="1">
        <w:r w:rsidRPr="006B7C5C">
          <w:rPr>
            <w:rFonts w:eastAsia="Times New Roman" w:cs="Times New Roman"/>
            <w:i/>
            <w:iCs/>
            <w:szCs w:val="24"/>
            <w:lang w:eastAsia="es-CO"/>
          </w:rPr>
          <w:t>383</w:t>
        </w:r>
      </w:hyperlink>
      <w:r w:rsidRPr="006B7C5C">
        <w:rPr>
          <w:rFonts w:eastAsia="Times New Roman" w:cs="Times New Roman"/>
          <w:i/>
          <w:iCs/>
          <w:szCs w:val="24"/>
          <w:lang w:eastAsia="es-CO"/>
        </w:rPr>
        <w:t> y </w:t>
      </w:r>
      <w:hyperlink r:id="rId38" w:tooltip="Estatuto Tributario CETA" w:history="1">
        <w:r w:rsidRPr="006B7C5C">
          <w:rPr>
            <w:rFonts w:eastAsia="Times New Roman" w:cs="Times New Roman"/>
            <w:i/>
            <w:iCs/>
            <w:szCs w:val="24"/>
            <w:lang w:eastAsia="es-CO"/>
          </w:rPr>
          <w:t>387</w:t>
        </w:r>
      </w:hyperlink>
      <w:r w:rsidRPr="006B7C5C">
        <w:rPr>
          <w:rFonts w:eastAsia="Times New Roman" w:cs="Times New Roman"/>
          <w:i/>
          <w:iCs/>
          <w:szCs w:val="24"/>
          <w:lang w:eastAsia="es-CO"/>
        </w:rPr>
        <w:t> del Estatuto Tributario, dejaron incólume la aplicación del artículo 5º del Decreto Reglamentario 3750 de 1986 para efectos de la retención en la fuente sobre ingresos laborales en lo que dice relación con el régimen ordinario del Impuesto sobre la Renta. No se predica lo mismo frente al </w:t>
      </w:r>
      <w:hyperlink r:id="rId39" w:tooltip="Estatuto Tributario CETA" w:history="1">
        <w:r w:rsidRPr="006B7C5C">
          <w:rPr>
            <w:rFonts w:eastAsia="Times New Roman" w:cs="Times New Roman"/>
            <w:i/>
            <w:iCs/>
            <w:szCs w:val="24"/>
            <w:lang w:eastAsia="es-CO"/>
          </w:rPr>
          <w:t>artículo 384</w:t>
        </w:r>
      </w:hyperlink>
      <w:r w:rsidRPr="006B7C5C">
        <w:rPr>
          <w:rFonts w:eastAsia="Times New Roman" w:cs="Times New Roman"/>
          <w:i/>
          <w:iCs/>
          <w:szCs w:val="24"/>
          <w:lang w:eastAsia="es-CO"/>
        </w:rPr>
        <w:t> del Estatuto Tributario, porque este es un artículo nuevo, adicionado por el artículo 14 de la Ley 1607 de 2012 y, en consecuencia, de ninguna manera podría sostenerse que el artículo 5º del Decreto Reglamentario 3750 de 1986 lo reglamenta.</w:t>
      </w:r>
    </w:p>
    <w:p w:rsidR="006B7C5C" w:rsidRPr="006B7C5C" w:rsidRDefault="006B7C5C" w:rsidP="00796214">
      <w:pPr>
        <w:spacing w:after="0" w:line="240" w:lineRule="auto"/>
        <w:ind w:left="284"/>
        <w:jc w:val="both"/>
        <w:rPr>
          <w:rFonts w:eastAsia="Times New Roman" w:cs="Times New Roman"/>
          <w:i/>
          <w:iCs/>
          <w:szCs w:val="24"/>
          <w:lang w:eastAsia="es-CO"/>
        </w:rPr>
      </w:pPr>
    </w:p>
    <w:p w:rsidR="00796214" w:rsidRPr="006B7C5C" w:rsidRDefault="00796214" w:rsidP="00796214">
      <w:pPr>
        <w:spacing w:after="0" w:line="240" w:lineRule="auto"/>
        <w:ind w:left="284"/>
        <w:jc w:val="both"/>
        <w:rPr>
          <w:rFonts w:eastAsia="Times New Roman" w:cs="Times New Roman"/>
          <w:szCs w:val="24"/>
          <w:lang w:eastAsia="es-CO"/>
        </w:rPr>
      </w:pPr>
      <w:r w:rsidRPr="006B7C5C">
        <w:rPr>
          <w:rFonts w:eastAsia="Times New Roman" w:cs="Times New Roman"/>
          <w:i/>
          <w:iCs/>
          <w:szCs w:val="24"/>
          <w:lang w:eastAsia="es-CO"/>
        </w:rPr>
        <w:t>(…) </w:t>
      </w:r>
      <w:r w:rsidRPr="006B7C5C">
        <w:rPr>
          <w:rFonts w:eastAsia="Times New Roman" w:cs="Times New Roman"/>
          <w:szCs w:val="24"/>
          <w:lang w:eastAsia="es-CO"/>
        </w:rPr>
        <w:t>Subrayado fuera del texto.</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Atentamente,</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szCs w:val="24"/>
          <w:lang w:eastAsia="es-CO"/>
        </w:rPr>
        <w:t> </w:t>
      </w:r>
    </w:p>
    <w:p w:rsidR="00796214" w:rsidRPr="006B7C5C" w:rsidRDefault="00796214" w:rsidP="00796214">
      <w:pPr>
        <w:spacing w:after="0" w:line="240" w:lineRule="auto"/>
        <w:jc w:val="both"/>
        <w:rPr>
          <w:rFonts w:eastAsia="Times New Roman" w:cs="Times New Roman"/>
          <w:szCs w:val="24"/>
          <w:lang w:eastAsia="es-CO"/>
        </w:rPr>
      </w:pPr>
      <w:r w:rsidRPr="006B7C5C">
        <w:rPr>
          <w:rFonts w:eastAsia="Times New Roman" w:cs="Times New Roman"/>
          <w:b/>
          <w:bCs/>
          <w:szCs w:val="24"/>
          <w:lang w:eastAsia="es-CO"/>
        </w:rPr>
        <w:t>El Director de Gestión Jurídica (A),</w:t>
      </w:r>
    </w:p>
    <w:p w:rsidR="00796214" w:rsidRPr="006B7C5C" w:rsidRDefault="00796214" w:rsidP="00C82898">
      <w:pPr>
        <w:spacing w:after="0" w:line="240" w:lineRule="auto"/>
        <w:rPr>
          <w:rFonts w:eastAsia="Times New Roman" w:cs="Times New Roman"/>
          <w:szCs w:val="24"/>
          <w:lang w:eastAsia="es-CO"/>
        </w:rPr>
      </w:pPr>
      <w:proofErr w:type="spellStart"/>
      <w:r w:rsidRPr="006B7C5C">
        <w:rPr>
          <w:rFonts w:eastAsia="Times New Roman" w:cs="Times New Roman"/>
          <w:i/>
          <w:iCs/>
          <w:szCs w:val="24"/>
          <w:lang w:eastAsia="es-CO"/>
        </w:rPr>
        <w:t>Yumer</w:t>
      </w:r>
      <w:proofErr w:type="spellEnd"/>
      <w:r w:rsidRPr="006B7C5C">
        <w:rPr>
          <w:rFonts w:eastAsia="Times New Roman" w:cs="Times New Roman"/>
          <w:i/>
          <w:iCs/>
          <w:szCs w:val="24"/>
          <w:lang w:eastAsia="es-CO"/>
        </w:rPr>
        <w:t xml:space="preserve"> </w:t>
      </w:r>
      <w:proofErr w:type="spellStart"/>
      <w:r w:rsidRPr="006B7C5C">
        <w:rPr>
          <w:rFonts w:eastAsia="Times New Roman" w:cs="Times New Roman"/>
          <w:i/>
          <w:iCs/>
          <w:szCs w:val="24"/>
          <w:lang w:eastAsia="es-CO"/>
        </w:rPr>
        <w:t>Yoel</w:t>
      </w:r>
      <w:proofErr w:type="spellEnd"/>
      <w:r w:rsidRPr="006B7C5C">
        <w:rPr>
          <w:rFonts w:eastAsia="Times New Roman" w:cs="Times New Roman"/>
          <w:i/>
          <w:iCs/>
          <w:szCs w:val="24"/>
          <w:lang w:eastAsia="es-CO"/>
        </w:rPr>
        <w:t xml:space="preserve"> Aguilar Vargas.</w:t>
      </w:r>
    </w:p>
    <w:p w:rsidR="00796214" w:rsidRDefault="00796214" w:rsidP="00796214">
      <w:pPr>
        <w:spacing w:after="0" w:line="240" w:lineRule="auto"/>
        <w:jc w:val="both"/>
        <w:rPr>
          <w:rFonts w:eastAsia="Times New Roman" w:cs="Times New Roman"/>
          <w:b/>
          <w:bCs/>
          <w:szCs w:val="24"/>
          <w:lang w:eastAsia="es-CO"/>
        </w:rPr>
      </w:pPr>
      <w:r w:rsidRPr="006B7C5C">
        <w:rPr>
          <w:rFonts w:eastAsia="Times New Roman" w:cs="Times New Roman"/>
          <w:b/>
          <w:bCs/>
          <w:szCs w:val="24"/>
          <w:lang w:eastAsia="es-CO"/>
        </w:rPr>
        <w:t>Publicado en D.O. 49.424 del 13 de febrero de 2015.</w:t>
      </w:r>
    </w:p>
    <w:p w:rsidR="00C82898" w:rsidRPr="006B7C5C" w:rsidRDefault="00C82898" w:rsidP="00796214">
      <w:pPr>
        <w:spacing w:after="0" w:line="240" w:lineRule="auto"/>
        <w:jc w:val="both"/>
        <w:rPr>
          <w:rFonts w:eastAsia="Times New Roman" w:cs="Times New Roman"/>
          <w:szCs w:val="24"/>
          <w:lang w:eastAsia="es-CO"/>
        </w:rPr>
      </w:pPr>
      <w:r>
        <w:rPr>
          <w:rFonts w:eastAsia="Times New Roman" w:cs="Times New Roman"/>
          <w:b/>
          <w:bCs/>
          <w:szCs w:val="24"/>
          <w:lang w:eastAsia="es-CO"/>
        </w:rPr>
        <w:t>_________________________________________________________________________</w:t>
      </w:r>
    </w:p>
    <w:p w:rsidR="00796214" w:rsidRPr="006B7C5C" w:rsidRDefault="00796214" w:rsidP="00796214">
      <w:pPr>
        <w:spacing w:after="285" w:line="240" w:lineRule="auto"/>
        <w:rPr>
          <w:rFonts w:eastAsia="Times New Roman" w:cs="Times New Roman"/>
          <w:szCs w:val="24"/>
          <w:lang w:eastAsia="es-CO"/>
        </w:rPr>
      </w:pPr>
      <w:r w:rsidRPr="006B7C5C">
        <w:rPr>
          <w:rFonts w:eastAsia="Times New Roman" w:cs="Times New Roman"/>
          <w:szCs w:val="24"/>
          <w:lang w:eastAsia="es-CO"/>
        </w:rPr>
        <w:t> </w:t>
      </w:r>
    </w:p>
    <w:p w:rsidR="00961BFA" w:rsidRPr="006B7C5C" w:rsidRDefault="00961BFA">
      <w:pPr>
        <w:rPr>
          <w:rFonts w:cs="Times New Roman"/>
          <w:szCs w:val="24"/>
        </w:rPr>
      </w:pPr>
    </w:p>
    <w:p w:rsidR="006B7C5C" w:rsidRPr="006B7C5C" w:rsidRDefault="006B7C5C">
      <w:pPr>
        <w:rPr>
          <w:rFonts w:cs="Times New Roman"/>
          <w:szCs w:val="24"/>
        </w:rPr>
      </w:pPr>
    </w:p>
    <w:sectPr w:rsidR="006B7C5C" w:rsidRPr="006B7C5C" w:rsidSect="006B7C5C">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14"/>
    <w:rsid w:val="001048A0"/>
    <w:rsid w:val="0029351E"/>
    <w:rsid w:val="005D4491"/>
    <w:rsid w:val="006B7C5C"/>
    <w:rsid w:val="00796214"/>
    <w:rsid w:val="00961BFA"/>
    <w:rsid w:val="00B94BED"/>
    <w:rsid w:val="00C82898"/>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36C7C-6629-4073-9BB7-E5853EB1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72" TargetMode="External"/><Relationship Id="rId18" Type="http://schemas.openxmlformats.org/officeDocument/2006/relationships/hyperlink" Target="http://www.ceta.org.co/html/vista_de_un_articulo.asp?Norma=477" TargetMode="External"/><Relationship Id="rId26" Type="http://schemas.openxmlformats.org/officeDocument/2006/relationships/hyperlink" Target="http://www.ceta.org.co/html/vista_de_un_articulo.asp?Norma=411" TargetMode="External"/><Relationship Id="rId39" Type="http://schemas.openxmlformats.org/officeDocument/2006/relationships/hyperlink" Target="http://www.ceta.org.co/html/vista_de_un_articulo.asp?Norma=477" TargetMode="External"/><Relationship Id="rId21" Type="http://schemas.openxmlformats.org/officeDocument/2006/relationships/hyperlink" Target="http://www.ceta.org.co/html/vista_de_un_articulo.asp?Norma=477" TargetMode="External"/><Relationship Id="rId34" Type="http://schemas.openxmlformats.org/officeDocument/2006/relationships/hyperlink" Target="http://www.ceta.org.co/html/vista_de_un_articulo.asp?Norma=476" TargetMode="External"/><Relationship Id="rId7" Type="http://schemas.openxmlformats.org/officeDocument/2006/relationships/hyperlink" Target="http://www.ceta.org.co/html/vista_de_un_articulo.asp?Norma=411" TargetMode="External"/><Relationship Id="rId2" Type="http://schemas.openxmlformats.org/officeDocument/2006/relationships/settings" Target="settings.xml"/><Relationship Id="rId16" Type="http://schemas.openxmlformats.org/officeDocument/2006/relationships/hyperlink" Target="http://www.ceta.org.co/html/vista_de_un_articulo.asp?Norma=272" TargetMode="External"/><Relationship Id="rId20" Type="http://schemas.openxmlformats.org/officeDocument/2006/relationships/hyperlink" Target="http://www.ceta.org.co/html/vista_de_un_articulo.asp?Norma=477" TargetMode="External"/><Relationship Id="rId29" Type="http://schemas.openxmlformats.org/officeDocument/2006/relationships/hyperlink" Target="http://www.ceta.org.co/html/vista_de_un_articulo.asp?Norma=47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410" TargetMode="External"/><Relationship Id="rId11" Type="http://schemas.openxmlformats.org/officeDocument/2006/relationships/hyperlink" Target="http://www.ceta.org.co/html/vista_de_un_articulo.asp?Norma=272" TargetMode="External"/><Relationship Id="rId24" Type="http://schemas.openxmlformats.org/officeDocument/2006/relationships/hyperlink" Target="http://www.ceta.org.co/html/vista_de_un_articulo.asp?Norma=409" TargetMode="External"/><Relationship Id="rId32" Type="http://schemas.openxmlformats.org/officeDocument/2006/relationships/hyperlink" Target="http://www.ceta.org.co/html/vista_de_un_articulo.asp?Norma=477" TargetMode="External"/><Relationship Id="rId37" Type="http://schemas.openxmlformats.org/officeDocument/2006/relationships/hyperlink" Target="http://www.ceta.org.co/html/vista_de_un_articulo.asp?Norma=476" TargetMode="External"/><Relationship Id="rId40" Type="http://schemas.openxmlformats.org/officeDocument/2006/relationships/fontTable" Target="fontTable.xml"/><Relationship Id="rId5" Type="http://schemas.openxmlformats.org/officeDocument/2006/relationships/hyperlink" Target="http://www.ceta.org.co/html/vista_de_un_articulo.asp?Norma=409" TargetMode="External"/><Relationship Id="rId15" Type="http://schemas.openxmlformats.org/officeDocument/2006/relationships/hyperlink" Target="http://www.ceta.org.co/html/vista_de_un_articulo.asp?Norma=272"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477" TargetMode="External"/><Relationship Id="rId36" Type="http://schemas.openxmlformats.org/officeDocument/2006/relationships/hyperlink" Target="http://www.ceta.org.co/html/vista_de_un_articulo.asp?Norma=476" TargetMode="External"/><Relationship Id="rId10" Type="http://schemas.openxmlformats.org/officeDocument/2006/relationships/hyperlink" Target="http://www.ceta.org.co/html/vista_de_un_articulo.asp?Norma=272" TargetMode="External"/><Relationship Id="rId19" Type="http://schemas.openxmlformats.org/officeDocument/2006/relationships/hyperlink" Target="http://www.ceta.org.co/html/vista_de_un_articulo.asp?Norma=476" TargetMode="External"/><Relationship Id="rId31" Type="http://schemas.openxmlformats.org/officeDocument/2006/relationships/hyperlink" Target="http://www.ceta.org.co/html/vista_de_un_articulo.asp?Norma=476" TargetMode="External"/><Relationship Id="rId4" Type="http://schemas.openxmlformats.org/officeDocument/2006/relationships/hyperlink" Target="http://www.ceta.org.co/html/vista_de_un_articulo.asp?Norma=272" TargetMode="External"/><Relationship Id="rId9" Type="http://schemas.openxmlformats.org/officeDocument/2006/relationships/hyperlink" Target="http://www.ceta.org.co/html/vista_de_un_articulo.asp?Norma=477" TargetMode="External"/><Relationship Id="rId14" Type="http://schemas.openxmlformats.org/officeDocument/2006/relationships/hyperlink" Target="http://www.ceta.org.co/html/vista_de_un_articulo.asp?Norma=272" TargetMode="External"/><Relationship Id="rId22" Type="http://schemas.openxmlformats.org/officeDocument/2006/relationships/hyperlink" Target="http://www.ceta.org.co/html/vista_de_un_articulo.asp?Norma=272" TargetMode="External"/><Relationship Id="rId27" Type="http://schemas.openxmlformats.org/officeDocument/2006/relationships/hyperlink" Target="http://www.ceta.org.co/html/vista_de_un_articulo.asp?Norma=476" TargetMode="External"/><Relationship Id="rId30" Type="http://schemas.openxmlformats.org/officeDocument/2006/relationships/hyperlink" Target="http://www.ceta.org.co/html/vista_de_un_articulo.asp?Norma=477" TargetMode="External"/><Relationship Id="rId35" Type="http://schemas.openxmlformats.org/officeDocument/2006/relationships/hyperlink" Target="http://www.ceta.org.co/html/vista_de_un_articulo.asp?Norma=477" TargetMode="External"/><Relationship Id="rId8" Type="http://schemas.openxmlformats.org/officeDocument/2006/relationships/hyperlink" Target="http://www.ceta.org.co/html/vista_de_un_articulo.asp?Norma=476"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272" TargetMode="External"/><Relationship Id="rId17" Type="http://schemas.openxmlformats.org/officeDocument/2006/relationships/hyperlink" Target="http://www.ceta.org.co/html/vista_de_un_articulo.asp?Norma=411" TargetMode="External"/><Relationship Id="rId25" Type="http://schemas.openxmlformats.org/officeDocument/2006/relationships/hyperlink" Target="http://www.ceta.org.co/html/vista_de_un_articulo.asp?Norma=410" TargetMode="External"/><Relationship Id="rId33" Type="http://schemas.openxmlformats.org/officeDocument/2006/relationships/hyperlink" Target="http://www.ceta.org.co/html/vista_de_un_articulo.asp?Norma=477" TargetMode="External"/><Relationship Id="rId38" Type="http://schemas.openxmlformats.org/officeDocument/2006/relationships/hyperlink" Target="http://www.ceta.org.co/html/vista_de_un_articulo.asp?Norma=4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2710</Words>
  <Characters>14908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5</cp:revision>
  <dcterms:created xsi:type="dcterms:W3CDTF">2015-02-19T13:19:00Z</dcterms:created>
  <dcterms:modified xsi:type="dcterms:W3CDTF">2015-03-23T14:36:00Z</dcterms:modified>
</cp:coreProperties>
</file>